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33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1530"/>
        <w:gridCol w:w="4765"/>
      </w:tblGrid>
      <w:tr w:rsidR="000933AF" w:rsidRPr="00902E7F" w14:paraId="6C34DEA9" w14:textId="77777777" w:rsidTr="001F0CBD">
        <w:tc>
          <w:tcPr>
            <w:tcW w:w="9350" w:type="dxa"/>
            <w:gridSpan w:val="4"/>
          </w:tcPr>
          <w:p w14:paraId="32592190" w14:textId="1A0CB3B2" w:rsidR="000933AF" w:rsidRPr="00907E17" w:rsidRDefault="000933AF" w:rsidP="00902E7F">
            <w:pPr>
              <w:spacing w:line="276" w:lineRule="auto"/>
              <w:rPr>
                <w:rFonts w:asciiTheme="majorHAnsi" w:hAnsiTheme="majorHAnsi"/>
                <w:b/>
                <w:bCs/>
                <w:sz w:val="28"/>
                <w:szCs w:val="28"/>
                <w:lang w:val="mk-MK"/>
              </w:rPr>
            </w:pPr>
            <w:r w:rsidRPr="00907E17">
              <w:rPr>
                <w:rFonts w:asciiTheme="majorHAnsi" w:hAnsiTheme="majorHAnsi"/>
                <w:b/>
                <w:bCs/>
                <w:sz w:val="28"/>
                <w:szCs w:val="28"/>
                <w:lang w:val="mk-MK"/>
              </w:rPr>
              <w:t>Извештај за реализирана практична</w:t>
            </w:r>
            <w:r w:rsidR="008A14C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– </w:t>
            </w:r>
            <w:r w:rsidR="008A14C7">
              <w:rPr>
                <w:rFonts w:asciiTheme="majorHAnsi" w:hAnsiTheme="majorHAnsi"/>
                <w:b/>
                <w:bCs/>
                <w:sz w:val="28"/>
                <w:szCs w:val="28"/>
                <w:lang w:val="mk-MK"/>
              </w:rPr>
              <w:t>клиничка</w:t>
            </w:r>
            <w:r w:rsidRPr="00907E17">
              <w:rPr>
                <w:rFonts w:asciiTheme="majorHAnsi" w:hAnsiTheme="majorHAnsi"/>
                <w:b/>
                <w:bCs/>
                <w:sz w:val="28"/>
                <w:szCs w:val="28"/>
                <w:lang w:val="mk-MK"/>
              </w:rPr>
              <w:t xml:space="preserve"> настава на Факултетот за правни и политички науки за академската 2024/25</w:t>
            </w:r>
          </w:p>
          <w:p w14:paraId="48F14D72" w14:textId="7777777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32E0F61E" w14:textId="77777777" w:rsidTr="000933AF">
        <w:tc>
          <w:tcPr>
            <w:tcW w:w="625" w:type="dxa"/>
          </w:tcPr>
          <w:p w14:paraId="305091A0" w14:textId="7A6A3925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1.</w:t>
            </w:r>
          </w:p>
        </w:tc>
        <w:tc>
          <w:tcPr>
            <w:tcW w:w="2430" w:type="dxa"/>
          </w:tcPr>
          <w:p w14:paraId="44E40916" w14:textId="1195865E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Институција</w:t>
            </w:r>
          </w:p>
        </w:tc>
        <w:tc>
          <w:tcPr>
            <w:tcW w:w="1530" w:type="dxa"/>
          </w:tcPr>
          <w:p w14:paraId="7B3D7AA3" w14:textId="2960F7C1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Период </w:t>
            </w:r>
          </w:p>
        </w:tc>
        <w:tc>
          <w:tcPr>
            <w:tcW w:w="4765" w:type="dxa"/>
          </w:tcPr>
          <w:p w14:paraId="0096C3C4" w14:textId="528DC62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Тема на посетата</w:t>
            </w:r>
          </w:p>
        </w:tc>
      </w:tr>
      <w:tr w:rsidR="000933AF" w:rsidRPr="00902E7F" w14:paraId="70408D07" w14:textId="77777777" w:rsidTr="000933AF">
        <w:tc>
          <w:tcPr>
            <w:tcW w:w="625" w:type="dxa"/>
          </w:tcPr>
          <w:p w14:paraId="07252190" w14:textId="42D1A22C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2.</w:t>
            </w:r>
          </w:p>
        </w:tc>
        <w:tc>
          <w:tcPr>
            <w:tcW w:w="2430" w:type="dxa"/>
          </w:tcPr>
          <w:p w14:paraId="7B4EB46A" w14:textId="1DEF79EC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Уставен суд </w:t>
            </w:r>
          </w:p>
        </w:tc>
        <w:tc>
          <w:tcPr>
            <w:tcW w:w="1530" w:type="dxa"/>
          </w:tcPr>
          <w:p w14:paraId="156C31D8" w14:textId="03E84D9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02.10.2024</w:t>
            </w:r>
          </w:p>
        </w:tc>
        <w:tc>
          <w:tcPr>
            <w:tcW w:w="4765" w:type="dxa"/>
          </w:tcPr>
          <w:p w14:paraId="72C0F9EA" w14:textId="537F9E9F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Присуство на Јавна седница</w:t>
            </w:r>
          </w:p>
        </w:tc>
      </w:tr>
      <w:tr w:rsidR="000933AF" w:rsidRPr="00902E7F" w14:paraId="7CD0139A" w14:textId="77777777" w:rsidTr="000933AF">
        <w:tc>
          <w:tcPr>
            <w:tcW w:w="625" w:type="dxa"/>
          </w:tcPr>
          <w:p w14:paraId="322B455E" w14:textId="6E0C459F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3.</w:t>
            </w:r>
          </w:p>
        </w:tc>
        <w:tc>
          <w:tcPr>
            <w:tcW w:w="2430" w:type="dxa"/>
          </w:tcPr>
          <w:p w14:paraId="776F2BAB" w14:textId="3685481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Уставен суд</w:t>
            </w:r>
          </w:p>
        </w:tc>
        <w:tc>
          <w:tcPr>
            <w:tcW w:w="1530" w:type="dxa"/>
          </w:tcPr>
          <w:p w14:paraId="7EEB2F23" w14:textId="36B888CF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10.10.2024</w:t>
            </w:r>
          </w:p>
        </w:tc>
        <w:tc>
          <w:tcPr>
            <w:tcW w:w="4765" w:type="dxa"/>
          </w:tcPr>
          <w:p w14:paraId="610DCF2A" w14:textId="498F00DA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студентите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организацијата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делокругот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работа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надлежностите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, функционирањето</w:t>
            </w:r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Уставниот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суд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.</w:t>
            </w:r>
          </w:p>
          <w:p w14:paraId="1F7C40D6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33AF" w:rsidRPr="00902E7F" w14:paraId="1070740C" w14:textId="77777777" w:rsidTr="000933AF">
        <w:tc>
          <w:tcPr>
            <w:tcW w:w="625" w:type="dxa"/>
          </w:tcPr>
          <w:p w14:paraId="40212C78" w14:textId="6015EDDF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4.</w:t>
            </w:r>
          </w:p>
        </w:tc>
        <w:tc>
          <w:tcPr>
            <w:tcW w:w="2430" w:type="dxa"/>
          </w:tcPr>
          <w:p w14:paraId="558CEE2F" w14:textId="4110E4A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Собрание на Република Северна Македонија</w:t>
            </w:r>
          </w:p>
        </w:tc>
        <w:tc>
          <w:tcPr>
            <w:tcW w:w="1530" w:type="dxa"/>
          </w:tcPr>
          <w:p w14:paraId="1A9A6901" w14:textId="392987EB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16.10.2024</w:t>
            </w:r>
          </w:p>
        </w:tc>
        <w:tc>
          <w:tcPr>
            <w:tcW w:w="4765" w:type="dxa"/>
          </w:tcPr>
          <w:p w14:paraId="30BAFC5E" w14:textId="0E20821E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Учество на целодневен семинар на тема: Парламентот (Собранието) како основна институција на парламентарното право.</w:t>
            </w:r>
          </w:p>
        </w:tc>
      </w:tr>
      <w:tr w:rsidR="000933AF" w:rsidRPr="00902E7F" w14:paraId="45932623" w14:textId="77777777" w:rsidTr="000933AF">
        <w:tc>
          <w:tcPr>
            <w:tcW w:w="625" w:type="dxa"/>
          </w:tcPr>
          <w:p w14:paraId="32207BE6" w14:textId="51FE6F6C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5.</w:t>
            </w:r>
          </w:p>
        </w:tc>
        <w:tc>
          <w:tcPr>
            <w:tcW w:w="2430" w:type="dxa"/>
          </w:tcPr>
          <w:p w14:paraId="4520B84A" w14:textId="53B3C1D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Уставен суд</w:t>
            </w:r>
          </w:p>
        </w:tc>
        <w:tc>
          <w:tcPr>
            <w:tcW w:w="1530" w:type="dxa"/>
          </w:tcPr>
          <w:p w14:paraId="134AD71C" w14:textId="5DECE2BE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24.10.2024</w:t>
            </w:r>
          </w:p>
        </w:tc>
        <w:tc>
          <w:tcPr>
            <w:tcW w:w="4765" w:type="dxa"/>
          </w:tcPr>
          <w:p w14:paraId="258473EB" w14:textId="11918435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спецификите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инцијативата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поведување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постапка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оценување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уставноста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закон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уставноста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законитоста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пропис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или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друг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општ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акт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. Анализа на конкретни предмети за к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онтрола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уставноста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законитоста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.</w:t>
            </w:r>
          </w:p>
          <w:p w14:paraId="392B1A0D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54E40FF7" w14:textId="77777777" w:rsidTr="000933AF">
        <w:tc>
          <w:tcPr>
            <w:tcW w:w="625" w:type="dxa"/>
          </w:tcPr>
          <w:p w14:paraId="18CAE098" w14:textId="4C4E463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6.</w:t>
            </w:r>
          </w:p>
        </w:tc>
        <w:tc>
          <w:tcPr>
            <w:tcW w:w="2430" w:type="dxa"/>
          </w:tcPr>
          <w:p w14:paraId="392AD625" w14:textId="233DE6C5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Министерство за правда</w:t>
            </w:r>
          </w:p>
        </w:tc>
        <w:tc>
          <w:tcPr>
            <w:tcW w:w="1530" w:type="dxa"/>
          </w:tcPr>
          <w:p w14:paraId="3B662395" w14:textId="53BDCB3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31.10.2024</w:t>
            </w:r>
          </w:p>
        </w:tc>
        <w:tc>
          <w:tcPr>
            <w:tcW w:w="4765" w:type="dxa"/>
          </w:tcPr>
          <w:p w14:paraId="381E9192" w14:textId="4EE8C5B9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студентите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организацијата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делокругот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работа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надлежностите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Министерството за правда</w:t>
            </w:r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;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спецификите на нормативната дејност на Министерството (подготовка на подзаконски општи правни акти</w:t>
            </w:r>
            <w:proofErr w:type="gramStart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);</w:t>
            </w:r>
            <w:proofErr w:type="gram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07C36C27" w14:textId="77777777" w:rsidR="000933AF" w:rsidRPr="00902E7F" w:rsidRDefault="000933AF" w:rsidP="00907E17">
            <w:pPr>
              <w:shd w:val="clear" w:color="auto" w:fill="FFFFFF"/>
              <w:spacing w:after="150"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Запознавање на студентите со спецификите во рамките на с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екторот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меѓународна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правна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помош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 xml:space="preserve"> во делот на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склучување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двострани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договори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меѓународна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правна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помош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екстрадиција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трансфер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осудени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лица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и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меѓународната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правна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помош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во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постапувањето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по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замолници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во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кривичната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граѓанската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област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 xml:space="preserve"> </w:t>
            </w:r>
          </w:p>
          <w:p w14:paraId="586FD24F" w14:textId="1689A4DF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eastAsia="Times New Roman" w:hAnsiTheme="majorHAnsi" w:cs="Times New Roman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Запознавање на студентите со спецификите  во с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ектор за ЕУ, со акцент на процесот на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европска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интеграција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меѓу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Република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  <w:lang w:val="mk-MK"/>
              </w:rPr>
              <w:t xml:space="preserve">Северна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Македонија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Европската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</w:rPr>
              <w:t>унија</w:t>
            </w:r>
            <w:proofErr w:type="spellEnd"/>
            <w:r w:rsidRPr="00902E7F">
              <w:rPr>
                <w:rFonts w:asciiTheme="majorHAnsi" w:hAnsiTheme="majorHAnsi" w:cs="Times New Roman"/>
                <w:color w:val="000000"/>
                <w:sz w:val="24"/>
                <w:szCs w:val="24"/>
                <w:shd w:val="clear" w:color="auto" w:fill="FFFFFF"/>
                <w:lang w:val="mk-MK"/>
              </w:rPr>
              <w:t>.</w:t>
            </w:r>
          </w:p>
        </w:tc>
      </w:tr>
      <w:tr w:rsidR="000933AF" w:rsidRPr="00902E7F" w14:paraId="1631FAE6" w14:textId="77777777" w:rsidTr="000933AF">
        <w:tc>
          <w:tcPr>
            <w:tcW w:w="625" w:type="dxa"/>
          </w:tcPr>
          <w:p w14:paraId="1DFE003B" w14:textId="0BCDF771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7.</w:t>
            </w:r>
          </w:p>
        </w:tc>
        <w:tc>
          <w:tcPr>
            <w:tcW w:w="2430" w:type="dxa"/>
          </w:tcPr>
          <w:p w14:paraId="4C456CD1" w14:textId="3A16F692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Основен Граѓански суд</w:t>
            </w:r>
          </w:p>
        </w:tc>
        <w:tc>
          <w:tcPr>
            <w:tcW w:w="1530" w:type="dxa"/>
          </w:tcPr>
          <w:p w14:paraId="1E6C71F5" w14:textId="3354C31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07.11.2024</w:t>
            </w:r>
          </w:p>
        </w:tc>
        <w:tc>
          <w:tcPr>
            <w:tcW w:w="4765" w:type="dxa"/>
          </w:tcPr>
          <w:p w14:paraId="4D6B8464" w14:textId="00B388FD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студентите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организацијата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делокругот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работа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надлежностите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Граѓанскиот судот.</w:t>
            </w:r>
          </w:p>
          <w:p w14:paraId="415C8A49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34927F65" w14:textId="77777777" w:rsidTr="000933AF">
        <w:tc>
          <w:tcPr>
            <w:tcW w:w="625" w:type="dxa"/>
          </w:tcPr>
          <w:p w14:paraId="37151C82" w14:textId="768766C8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8.</w:t>
            </w:r>
          </w:p>
        </w:tc>
        <w:tc>
          <w:tcPr>
            <w:tcW w:w="2430" w:type="dxa"/>
          </w:tcPr>
          <w:p w14:paraId="1672FE02" w14:textId="345B8BF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Уставен суд</w:t>
            </w:r>
          </w:p>
        </w:tc>
        <w:tc>
          <w:tcPr>
            <w:tcW w:w="1530" w:type="dxa"/>
          </w:tcPr>
          <w:p w14:paraId="54874BE5" w14:textId="7B8A9A9D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13.11.2024</w:t>
            </w:r>
          </w:p>
        </w:tc>
        <w:tc>
          <w:tcPr>
            <w:tcW w:w="4765" w:type="dxa"/>
          </w:tcPr>
          <w:p w14:paraId="6D3C5D2D" w14:textId="3718F6C1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Специфики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барањето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заштита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слободите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правата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човекот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граѓанинот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. Анализа на конкретни случаи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коведени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пред Уставниот суд.</w:t>
            </w:r>
          </w:p>
          <w:p w14:paraId="657780BB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6B7107C7" w14:textId="77777777" w:rsidTr="000933AF">
        <w:tc>
          <w:tcPr>
            <w:tcW w:w="625" w:type="dxa"/>
          </w:tcPr>
          <w:p w14:paraId="78B45CFD" w14:textId="7C33EC4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9.</w:t>
            </w:r>
          </w:p>
        </w:tc>
        <w:tc>
          <w:tcPr>
            <w:tcW w:w="2430" w:type="dxa"/>
          </w:tcPr>
          <w:p w14:paraId="2F7DEBA9" w14:textId="3FF36D4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Основен Граѓански суд, </w:t>
            </w:r>
          </w:p>
        </w:tc>
        <w:tc>
          <w:tcPr>
            <w:tcW w:w="1530" w:type="dxa"/>
          </w:tcPr>
          <w:p w14:paraId="0CC68844" w14:textId="6838963F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14.11.2024</w:t>
            </w:r>
          </w:p>
        </w:tc>
        <w:tc>
          <w:tcPr>
            <w:tcW w:w="4765" w:type="dxa"/>
          </w:tcPr>
          <w:p w14:paraId="6BC90D98" w14:textId="77777777" w:rsidR="000933AF" w:rsidRPr="00902E7F" w:rsidRDefault="000933AF" w:rsidP="00907E17">
            <w:p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на студентите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спецификите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на:</w:t>
            </w:r>
          </w:p>
          <w:p w14:paraId="1B1B5E2E" w14:textId="2E5E8F79" w:rsidR="000933AF" w:rsidRPr="00902E7F" w:rsidRDefault="000933AF" w:rsidP="00907E1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спорови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:lang w:val="mk-MK"/>
                <w14:ligatures w14:val="none"/>
              </w:rPr>
              <w:t>те</w:t>
            </w:r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во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имотно-правните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:lang w:val="mk-MK"/>
                <w14:ligatures w14:val="none"/>
              </w:rPr>
              <w:t xml:space="preserve"> </w:t>
            </w:r>
            <w:proofErr w:type="gram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:lang w:val="mk-MK"/>
                <w14:ligatures w14:val="none"/>
              </w:rPr>
              <w:t>односи;</w:t>
            </w:r>
            <w:proofErr w:type="gramEnd"/>
          </w:p>
          <w:p w14:paraId="03F8DC29" w14:textId="38B3300E" w:rsidR="000933AF" w:rsidRPr="00902E7F" w:rsidRDefault="000933AF" w:rsidP="00907E1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:lang w:val="mk-MK"/>
                <w14:ligatures w14:val="none"/>
              </w:rPr>
              <w:t xml:space="preserve">споровите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за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надоместок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14:ligatures w14:val="none"/>
              </w:rPr>
              <w:t>штета</w:t>
            </w:r>
            <w:proofErr w:type="spellEnd"/>
            <w:r w:rsidRPr="00902E7F">
              <w:rPr>
                <w:rFonts w:asciiTheme="majorHAnsi" w:eastAsia="Times New Roman" w:hAnsiTheme="majorHAnsi" w:cs="Times New Roman"/>
                <w:color w:val="222222"/>
                <w:kern w:val="0"/>
                <w:sz w:val="24"/>
                <w:szCs w:val="24"/>
                <w:lang w:val="mk-MK"/>
                <w14:ligatures w14:val="none"/>
              </w:rPr>
              <w:t xml:space="preserve">; </w:t>
            </w:r>
          </w:p>
          <w:p w14:paraId="37665253" w14:textId="50944E83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Анализа на конкретни предмети, со елаборација на сите фази во постапката.</w:t>
            </w:r>
          </w:p>
        </w:tc>
      </w:tr>
      <w:tr w:rsidR="000933AF" w:rsidRPr="00902E7F" w14:paraId="2BC1B815" w14:textId="77777777" w:rsidTr="000933AF">
        <w:tc>
          <w:tcPr>
            <w:tcW w:w="625" w:type="dxa"/>
          </w:tcPr>
          <w:p w14:paraId="1914537B" w14:textId="0AE784CD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10.</w:t>
            </w:r>
          </w:p>
        </w:tc>
        <w:tc>
          <w:tcPr>
            <w:tcW w:w="2430" w:type="dxa"/>
          </w:tcPr>
          <w:p w14:paraId="2B2027A9" w14:textId="3A603D1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Уставен суд</w:t>
            </w:r>
          </w:p>
        </w:tc>
        <w:tc>
          <w:tcPr>
            <w:tcW w:w="1530" w:type="dxa"/>
          </w:tcPr>
          <w:p w14:paraId="0B9E516B" w14:textId="72D7ED10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2E7F">
              <w:rPr>
                <w:rFonts w:asciiTheme="majorHAnsi" w:hAnsiTheme="majorHAnsi"/>
                <w:sz w:val="24"/>
                <w:szCs w:val="24"/>
              </w:rPr>
              <w:t>20.11.2024</w:t>
            </w:r>
          </w:p>
        </w:tc>
        <w:tc>
          <w:tcPr>
            <w:tcW w:w="4765" w:type="dxa"/>
          </w:tcPr>
          <w:p w14:paraId="53A63EBD" w14:textId="029B101B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Присуство на јавна седница.</w:t>
            </w:r>
          </w:p>
        </w:tc>
      </w:tr>
      <w:tr w:rsidR="000933AF" w:rsidRPr="00902E7F" w14:paraId="22108036" w14:textId="77777777" w:rsidTr="000933AF">
        <w:tc>
          <w:tcPr>
            <w:tcW w:w="625" w:type="dxa"/>
          </w:tcPr>
          <w:p w14:paraId="33F25856" w14:textId="07C63BD3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11.</w:t>
            </w:r>
          </w:p>
        </w:tc>
        <w:tc>
          <w:tcPr>
            <w:tcW w:w="2430" w:type="dxa"/>
          </w:tcPr>
          <w:p w14:paraId="1C33BA03" w14:textId="3BD34B08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Основен Граѓански суд</w:t>
            </w:r>
          </w:p>
        </w:tc>
        <w:tc>
          <w:tcPr>
            <w:tcW w:w="1530" w:type="dxa"/>
          </w:tcPr>
          <w:p w14:paraId="0773BF17" w14:textId="092642A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21.11.2024</w:t>
            </w:r>
          </w:p>
        </w:tc>
        <w:tc>
          <w:tcPr>
            <w:tcW w:w="4765" w:type="dxa"/>
          </w:tcPr>
          <w:p w14:paraId="7E767918" w14:textId="251D51D4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Целодневно присуство на јавни седници во Граѓанскиот суд, со различен тип на предмет на постапката.</w:t>
            </w:r>
          </w:p>
        </w:tc>
      </w:tr>
      <w:tr w:rsidR="000933AF" w:rsidRPr="00902E7F" w14:paraId="3CC61E33" w14:textId="77777777" w:rsidTr="000933AF">
        <w:tc>
          <w:tcPr>
            <w:tcW w:w="625" w:type="dxa"/>
          </w:tcPr>
          <w:p w14:paraId="1DB48679" w14:textId="0EED0563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12.</w:t>
            </w:r>
          </w:p>
        </w:tc>
        <w:tc>
          <w:tcPr>
            <w:tcW w:w="2430" w:type="dxa"/>
          </w:tcPr>
          <w:p w14:paraId="04E3AC21" w14:textId="73339A54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Основен Граѓански суд</w:t>
            </w:r>
          </w:p>
        </w:tc>
        <w:tc>
          <w:tcPr>
            <w:tcW w:w="1530" w:type="dxa"/>
          </w:tcPr>
          <w:p w14:paraId="2D4F2045" w14:textId="228933B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28.11.2024</w:t>
            </w:r>
          </w:p>
        </w:tc>
        <w:tc>
          <w:tcPr>
            <w:tcW w:w="4765" w:type="dxa"/>
          </w:tcPr>
          <w:p w14:paraId="4F95B178" w14:textId="66C9A992" w:rsidR="000933AF" w:rsidRPr="00902E7F" w:rsidRDefault="000933AF" w:rsidP="00907E17">
            <w:pPr>
              <w:spacing w:before="100" w:beforeAutospacing="1" w:after="100" w:afterAutospacing="1"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на студентите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спецификите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на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вонпарничната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постапка преку а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нализа на конкретни предмети, со елаборација на сите фази во постапката (прогласување на исчезнато лице за умрено, малолетнички брак, одземање на деловна способност, расправање на оставина).</w:t>
            </w:r>
          </w:p>
        </w:tc>
      </w:tr>
      <w:tr w:rsidR="000933AF" w:rsidRPr="00902E7F" w14:paraId="1CA2ACF3" w14:textId="77777777" w:rsidTr="000933AF">
        <w:tc>
          <w:tcPr>
            <w:tcW w:w="625" w:type="dxa"/>
          </w:tcPr>
          <w:p w14:paraId="1E8E347F" w14:textId="65E6EB1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13.</w:t>
            </w:r>
          </w:p>
        </w:tc>
        <w:tc>
          <w:tcPr>
            <w:tcW w:w="2430" w:type="dxa"/>
          </w:tcPr>
          <w:p w14:paraId="6AFC7B6E" w14:textId="3197907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Сојуз на синдикати - УПОЗ</w:t>
            </w:r>
          </w:p>
        </w:tc>
        <w:tc>
          <w:tcPr>
            <w:tcW w:w="1530" w:type="dxa"/>
          </w:tcPr>
          <w:p w14:paraId="73180CD1" w14:textId="3A5D67AD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28.11.2024</w:t>
            </w:r>
          </w:p>
        </w:tc>
        <w:tc>
          <w:tcPr>
            <w:tcW w:w="4765" w:type="dxa"/>
          </w:tcPr>
          <w:p w14:paraId="503C397F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Учество на завршна конференција на тема:</w:t>
            </w:r>
          </w:p>
          <w:p w14:paraId="7CB09074" w14:textId="11C58626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„</w:t>
            </w:r>
            <w:r w:rsidRPr="00902E7F">
              <w:rPr>
                <w:rFonts w:asciiTheme="majorHAnsi" w:hAnsiTheme="majorHAnsi"/>
                <w:sz w:val="24"/>
                <w:szCs w:val="24"/>
              </w:rPr>
              <w:t>Trade Union New Impetus for Youth Participation”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.</w:t>
            </w:r>
          </w:p>
        </w:tc>
      </w:tr>
      <w:tr w:rsidR="000933AF" w:rsidRPr="00902E7F" w14:paraId="02BA5260" w14:textId="77777777" w:rsidTr="000933AF">
        <w:tc>
          <w:tcPr>
            <w:tcW w:w="625" w:type="dxa"/>
          </w:tcPr>
          <w:p w14:paraId="732D080C" w14:textId="3AAEDC81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14.</w:t>
            </w:r>
          </w:p>
        </w:tc>
        <w:tc>
          <w:tcPr>
            <w:tcW w:w="2430" w:type="dxa"/>
          </w:tcPr>
          <w:p w14:paraId="22972C74" w14:textId="5080AB00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Народен правобранител</w:t>
            </w:r>
          </w:p>
        </w:tc>
        <w:tc>
          <w:tcPr>
            <w:tcW w:w="1530" w:type="dxa"/>
          </w:tcPr>
          <w:p w14:paraId="1C911AE9" w14:textId="3D8AD2C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05.12.2024</w:t>
            </w:r>
          </w:p>
        </w:tc>
        <w:tc>
          <w:tcPr>
            <w:tcW w:w="4765" w:type="dxa"/>
          </w:tcPr>
          <w:p w14:paraId="3FEA8224" w14:textId="099958B4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студентите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организацијата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делокругот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работа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надлежностите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Народниот правобранител со акцент на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промоција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заштита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уставните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законските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права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граѓаните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заштита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начелата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недискриминација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соодветна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правична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застапеност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граѓаните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кои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припаѓаат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заедници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кога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повредени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од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органите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на управата.</w:t>
            </w:r>
          </w:p>
          <w:p w14:paraId="45ED6E42" w14:textId="69244D54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Елаборација на постапката за иницирање на заштита пред Народниот правобранител, преку анализа на конкретни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случаји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(област финансии, екологија, дискриминација, лица со посебни потреби).</w:t>
            </w:r>
          </w:p>
          <w:p w14:paraId="05C21C0A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6752B23F" w14:textId="77777777" w:rsidTr="000933AF">
        <w:tc>
          <w:tcPr>
            <w:tcW w:w="625" w:type="dxa"/>
          </w:tcPr>
          <w:p w14:paraId="4519A090" w14:textId="1F54FC0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15.</w:t>
            </w:r>
          </w:p>
        </w:tc>
        <w:tc>
          <w:tcPr>
            <w:tcW w:w="2430" w:type="dxa"/>
          </w:tcPr>
          <w:p w14:paraId="41E40184" w14:textId="219AA78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Фонд за осигурување на депозити</w:t>
            </w:r>
          </w:p>
        </w:tc>
        <w:tc>
          <w:tcPr>
            <w:tcW w:w="1530" w:type="dxa"/>
          </w:tcPr>
          <w:p w14:paraId="631B07B5" w14:textId="2BBA7EC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12.12.2024</w:t>
            </w:r>
          </w:p>
        </w:tc>
        <w:tc>
          <w:tcPr>
            <w:tcW w:w="4765" w:type="dxa"/>
          </w:tcPr>
          <w:p w14:paraId="1F039408" w14:textId="1169E408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  <w:lang w:val="mk-MK"/>
              </w:rPr>
              <w:t xml:space="preserve">Студентите се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запозна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улогата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Фондот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важноста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заштитата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депозитите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физичките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лица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како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механизмите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обезбедување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финансиска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сигурност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shd w:val="clear" w:color="auto" w:fill="FFFFFF"/>
                <w:lang w:val="mk-MK"/>
              </w:rPr>
              <w:t xml:space="preserve">. </w:t>
            </w:r>
          </w:p>
        </w:tc>
      </w:tr>
      <w:tr w:rsidR="000933AF" w:rsidRPr="00902E7F" w14:paraId="26225336" w14:textId="77777777" w:rsidTr="000933AF">
        <w:tc>
          <w:tcPr>
            <w:tcW w:w="625" w:type="dxa"/>
          </w:tcPr>
          <w:p w14:paraId="1E5B2906" w14:textId="0F8243E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16.</w:t>
            </w:r>
          </w:p>
        </w:tc>
        <w:tc>
          <w:tcPr>
            <w:tcW w:w="2430" w:type="dxa"/>
          </w:tcPr>
          <w:p w14:paraId="3515A83D" w14:textId="033188D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Совет на Европа (програмска канцеларија во Скопје)</w:t>
            </w:r>
          </w:p>
        </w:tc>
        <w:tc>
          <w:tcPr>
            <w:tcW w:w="1530" w:type="dxa"/>
          </w:tcPr>
          <w:p w14:paraId="1AE3F811" w14:textId="3E0F45DD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19.12.2024</w:t>
            </w:r>
          </w:p>
        </w:tc>
        <w:tc>
          <w:tcPr>
            <w:tcW w:w="4765" w:type="dxa"/>
          </w:tcPr>
          <w:p w14:paraId="1C161018" w14:textId="25172FA9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студентите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постулатите на организацијата Советот на Европа. Во фокус се ставија спецификите на човековите права од аспект на делување на Советот на Европа, како и з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апознавање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на студентите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со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спецификите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на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 xml:space="preserve"> постапката </w:t>
            </w:r>
            <w:proofErr w:type="spellStart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>за</w:t>
            </w:r>
            <w:proofErr w:type="spellEnd"/>
            <w:r w:rsidRPr="00902E7F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 w:cs="Times New Roman"/>
                <w:sz w:val="24"/>
                <w:szCs w:val="24"/>
                <w:lang w:val="mk-MK"/>
              </w:rPr>
              <w:t>поднесување на барање до Европскиот суд за човекови права.</w:t>
            </w:r>
          </w:p>
          <w:p w14:paraId="36B057BA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0933AF" w:rsidRPr="00902E7F" w14:paraId="50744BC1" w14:textId="77777777" w:rsidTr="000933AF">
        <w:tc>
          <w:tcPr>
            <w:tcW w:w="625" w:type="dxa"/>
          </w:tcPr>
          <w:p w14:paraId="312E52F8" w14:textId="181F1E96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17.</w:t>
            </w:r>
          </w:p>
        </w:tc>
        <w:tc>
          <w:tcPr>
            <w:tcW w:w="2430" w:type="dxa"/>
          </w:tcPr>
          <w:p w14:paraId="7E0B9739" w14:textId="2A419643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Академија за судии и јавни обвинители</w:t>
            </w:r>
          </w:p>
        </w:tc>
        <w:tc>
          <w:tcPr>
            <w:tcW w:w="1530" w:type="dxa"/>
          </w:tcPr>
          <w:p w14:paraId="1DB57233" w14:textId="52EDF1A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19.12.2024</w:t>
            </w:r>
          </w:p>
        </w:tc>
        <w:tc>
          <w:tcPr>
            <w:tcW w:w="4765" w:type="dxa"/>
          </w:tcPr>
          <w:p w14:paraId="7E8054C0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Учество на студентите во симулација на судење како дел од завршниот испит на генерацијата запишани слушатели во Академијата за судии и јавни обвинители. </w:t>
            </w:r>
          </w:p>
          <w:p w14:paraId="54EAD82E" w14:textId="570BFA42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Симулација на предмет од областа на граѓанското право на кои им беа доделени конкретни улоги.</w:t>
            </w:r>
          </w:p>
        </w:tc>
      </w:tr>
      <w:tr w:rsidR="000933AF" w:rsidRPr="00902E7F" w14:paraId="39CD5BAF" w14:textId="77777777" w:rsidTr="000933AF">
        <w:tc>
          <w:tcPr>
            <w:tcW w:w="625" w:type="dxa"/>
          </w:tcPr>
          <w:p w14:paraId="6637A12F" w14:textId="222944CE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18.</w:t>
            </w:r>
          </w:p>
        </w:tc>
        <w:tc>
          <w:tcPr>
            <w:tcW w:w="2430" w:type="dxa"/>
          </w:tcPr>
          <w:p w14:paraId="5B4E1BCF" w14:textId="5931CAA2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Академија за судии и јавни обвинители</w:t>
            </w:r>
          </w:p>
        </w:tc>
        <w:tc>
          <w:tcPr>
            <w:tcW w:w="1530" w:type="dxa"/>
          </w:tcPr>
          <w:p w14:paraId="5E8DB59B" w14:textId="21F70D5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20.12.2024</w:t>
            </w:r>
          </w:p>
        </w:tc>
        <w:tc>
          <w:tcPr>
            <w:tcW w:w="4765" w:type="dxa"/>
          </w:tcPr>
          <w:p w14:paraId="41DC2B97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Учество на студентите во симулација на судење како дел од завршниот испит на генерацијата запишани слушатели во Академијата за судии и јавни обвинители. </w:t>
            </w:r>
          </w:p>
          <w:p w14:paraId="7D7CDA3D" w14:textId="0B417D2B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Симулација на предмет од областа на граѓанското право на кои им беа доделени конкретни улоги на студентите.</w:t>
            </w:r>
          </w:p>
        </w:tc>
      </w:tr>
      <w:tr w:rsidR="000933AF" w:rsidRPr="00902E7F" w14:paraId="42402B5E" w14:textId="77777777" w:rsidTr="000933AF">
        <w:tc>
          <w:tcPr>
            <w:tcW w:w="625" w:type="dxa"/>
          </w:tcPr>
          <w:p w14:paraId="5BE83058" w14:textId="32C89081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19.</w:t>
            </w:r>
          </w:p>
        </w:tc>
        <w:tc>
          <w:tcPr>
            <w:tcW w:w="2430" w:type="dxa"/>
          </w:tcPr>
          <w:p w14:paraId="1D819297" w14:textId="7F2F7D55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Академија за судии и јавни обвинители</w:t>
            </w:r>
          </w:p>
        </w:tc>
        <w:tc>
          <w:tcPr>
            <w:tcW w:w="1530" w:type="dxa"/>
          </w:tcPr>
          <w:p w14:paraId="0EE16B86" w14:textId="74575813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21.12.2024</w:t>
            </w:r>
          </w:p>
        </w:tc>
        <w:tc>
          <w:tcPr>
            <w:tcW w:w="4765" w:type="dxa"/>
          </w:tcPr>
          <w:p w14:paraId="16F1633C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Учество на студентите во симулација на судење како дел од завршниот испит на генерацијата запишани слушатели во Академијата за судии и јавни обвинители. </w:t>
            </w:r>
          </w:p>
          <w:p w14:paraId="78E69DC9" w14:textId="2F28165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Симулација на предмет од областа на казненото право на кои им беа доделени конкретни улоги на студентите.</w:t>
            </w:r>
          </w:p>
        </w:tc>
      </w:tr>
      <w:tr w:rsidR="000933AF" w:rsidRPr="00902E7F" w14:paraId="4F88702C" w14:textId="77777777" w:rsidTr="000933AF">
        <w:tc>
          <w:tcPr>
            <w:tcW w:w="625" w:type="dxa"/>
          </w:tcPr>
          <w:p w14:paraId="39919F62" w14:textId="27A12B1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20.</w:t>
            </w:r>
          </w:p>
        </w:tc>
        <w:tc>
          <w:tcPr>
            <w:tcW w:w="2430" w:type="dxa"/>
          </w:tcPr>
          <w:p w14:paraId="16C63054" w14:textId="75939395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Академија за судии и јавни обвинители</w:t>
            </w:r>
          </w:p>
        </w:tc>
        <w:tc>
          <w:tcPr>
            <w:tcW w:w="1530" w:type="dxa"/>
          </w:tcPr>
          <w:p w14:paraId="4C38D0B2" w14:textId="041C9F1A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23.12.2024</w:t>
            </w:r>
          </w:p>
        </w:tc>
        <w:tc>
          <w:tcPr>
            <w:tcW w:w="4765" w:type="dxa"/>
          </w:tcPr>
          <w:p w14:paraId="14391704" w14:textId="77777777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Учество на студентите во симулација на судење како дел од завршниот испит на генерацијата запишани слушатели во Академијата за судии и јавни обвинители. </w:t>
            </w:r>
          </w:p>
          <w:p w14:paraId="3AAB0FC3" w14:textId="01A9813A" w:rsidR="000933AF" w:rsidRPr="00902E7F" w:rsidRDefault="000933A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Симулација на предмет од областа на граѓанското право на кои им беа доделени конкретни улоги на студентите.</w:t>
            </w:r>
          </w:p>
        </w:tc>
      </w:tr>
      <w:tr w:rsidR="001332B3" w:rsidRPr="00902E7F" w14:paraId="5018D820" w14:textId="77777777" w:rsidTr="00D4687B">
        <w:tc>
          <w:tcPr>
            <w:tcW w:w="9350" w:type="dxa"/>
            <w:gridSpan w:val="4"/>
          </w:tcPr>
          <w:p w14:paraId="128D418F" w14:textId="22D760F8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Летен семестар 2024 </w:t>
            </w:r>
            <w:r w:rsidR="002768CC" w:rsidRPr="00902E7F">
              <w:rPr>
                <w:rFonts w:asciiTheme="majorHAnsi" w:hAnsiTheme="majorHAnsi"/>
                <w:sz w:val="24"/>
                <w:szCs w:val="24"/>
                <w:lang w:val="mk-MK"/>
              </w:rPr>
              <w:t>–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2025</w:t>
            </w:r>
          </w:p>
        </w:tc>
      </w:tr>
      <w:tr w:rsidR="001332B3" w:rsidRPr="00902E7F" w14:paraId="166DEB3A" w14:textId="77777777" w:rsidTr="000933AF">
        <w:tc>
          <w:tcPr>
            <w:tcW w:w="625" w:type="dxa"/>
          </w:tcPr>
          <w:p w14:paraId="7AC4798F" w14:textId="7F29BC38" w:rsidR="001332B3" w:rsidRPr="00420DE8" w:rsidRDefault="00420DE8" w:rsidP="00420DE8">
            <w:pPr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21.</w:t>
            </w:r>
          </w:p>
        </w:tc>
        <w:tc>
          <w:tcPr>
            <w:tcW w:w="2430" w:type="dxa"/>
          </w:tcPr>
          <w:p w14:paraId="5E786267" w14:textId="6E8BFE7C" w:rsidR="001332B3" w:rsidRPr="00902E7F" w:rsidRDefault="002768CC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Основниот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Кривичен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4B63E235" w14:textId="6BDFA752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6 март</w:t>
            </w:r>
          </w:p>
        </w:tc>
        <w:tc>
          <w:tcPr>
            <w:tcW w:w="4765" w:type="dxa"/>
          </w:tcPr>
          <w:p w14:paraId="51E9EE75" w14:textId="323ABCBC" w:rsidR="001332B3" w:rsidRPr="00902E7F" w:rsidRDefault="001332B3" w:rsidP="00907E17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HAnsi" w:hAnsiTheme="majorHAnsi"/>
                <w:sz w:val="24"/>
                <w:szCs w:val="24"/>
                <w:lang w:val="mk-MK"/>
              </w:rPr>
            </w:pP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рамките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посетите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студентите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имаа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прилика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практично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да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запознаат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спецификите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казнено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процесната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материја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практично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согледување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предметите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од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областа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казненото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право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преку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анализа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судски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предмети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како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и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спецификата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постапката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преку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присуство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јавни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судења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  <w:tr w:rsidR="00E15A3B" w:rsidRPr="00902E7F" w14:paraId="1DD8726C" w14:textId="77777777" w:rsidTr="000933AF">
        <w:tc>
          <w:tcPr>
            <w:tcW w:w="625" w:type="dxa"/>
          </w:tcPr>
          <w:p w14:paraId="6D883615" w14:textId="503B9344" w:rsidR="00E15A3B" w:rsidRPr="00902E7F" w:rsidRDefault="00420DE8" w:rsidP="00420DE8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</w:t>
            </w:r>
            <w:r w:rsidR="00B8540E">
              <w:rPr>
                <w:rFonts w:asciiTheme="majorHAnsi" w:hAnsiTheme="majorHAnsi"/>
                <w:sz w:val="24"/>
                <w:szCs w:val="24"/>
                <w:lang w:val="mk-MK"/>
              </w:rPr>
              <w:t>2</w:t>
            </w:r>
            <w:r>
              <w:rPr>
                <w:rFonts w:asciiTheme="majorHAnsi" w:hAnsiTheme="majorHAnsi"/>
                <w:sz w:val="24"/>
                <w:szCs w:val="24"/>
                <w:lang w:val="mk-MK"/>
              </w:rPr>
              <w:t>.</w:t>
            </w:r>
          </w:p>
        </w:tc>
        <w:tc>
          <w:tcPr>
            <w:tcW w:w="2430" w:type="dxa"/>
          </w:tcPr>
          <w:p w14:paraId="218566CE" w14:textId="77777777" w:rsidR="00E15A3B" w:rsidRPr="00902E7F" w:rsidRDefault="00E15A3B" w:rsidP="00902E7F">
            <w:pPr>
              <w:pStyle w:val="NormalWeb"/>
              <w:spacing w:line="276" w:lineRule="auto"/>
              <w:rPr>
                <w:rFonts w:asciiTheme="majorHAnsi" w:hAnsiTheme="majorHAnsi"/>
                <w:color w:val="000000"/>
              </w:rPr>
            </w:pPr>
            <w:r w:rsidRPr="00902E7F">
              <w:rPr>
                <w:rFonts w:asciiTheme="majorHAnsi" w:hAnsiTheme="majorHAnsi"/>
                <w:color w:val="000000"/>
              </w:rPr>
              <w:t>Europe House Skopje</w:t>
            </w:r>
          </w:p>
          <w:p w14:paraId="1D8FB2C0" w14:textId="77777777" w:rsidR="00E15A3B" w:rsidRPr="00902E7F" w:rsidRDefault="00E15A3B" w:rsidP="00902E7F">
            <w:pPr>
              <w:spacing w:line="276" w:lineRule="auto"/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1530" w:type="dxa"/>
          </w:tcPr>
          <w:p w14:paraId="2CC9319D" w14:textId="1C9913E3" w:rsidR="00E15A3B" w:rsidRPr="00902E7F" w:rsidRDefault="00E15A3B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</w:rPr>
              <w:t xml:space="preserve">10 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март</w:t>
            </w:r>
          </w:p>
        </w:tc>
        <w:tc>
          <w:tcPr>
            <w:tcW w:w="4765" w:type="dxa"/>
          </w:tcPr>
          <w:p w14:paraId="3A643FDC" w14:textId="77777777" w:rsidR="00E15A3B" w:rsidRPr="00902E7F" w:rsidRDefault="00E15A3B" w:rsidP="00907E17">
            <w:pPr>
              <w:pStyle w:val="NormalWeb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02E7F">
              <w:rPr>
                <w:rFonts w:asciiTheme="majorHAnsi" w:hAnsiTheme="majorHAnsi"/>
                <w:color w:val="000000"/>
              </w:rPr>
              <w:t>Marking of International Women’s Day 2025</w:t>
            </w:r>
          </w:p>
          <w:p w14:paraId="32F2A2B4" w14:textId="77777777" w:rsidR="00E15A3B" w:rsidRPr="00902E7F" w:rsidRDefault="00E15A3B" w:rsidP="00907E17">
            <w:pPr>
              <w:pStyle w:val="NormalWeb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02E7F">
              <w:rPr>
                <w:rFonts w:asciiTheme="majorHAnsi" w:hAnsiTheme="majorHAnsi"/>
                <w:color w:val="000000"/>
              </w:rPr>
              <w:t>Panel debate</w:t>
            </w:r>
          </w:p>
          <w:p w14:paraId="3D8120E9" w14:textId="178072AA" w:rsidR="00E15A3B" w:rsidRPr="00902E7F" w:rsidRDefault="00E15A3B" w:rsidP="00907E17">
            <w:pPr>
              <w:pStyle w:val="NormalWeb"/>
              <w:spacing w:line="276" w:lineRule="auto"/>
              <w:jc w:val="both"/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</w:pPr>
            <w:r w:rsidRPr="00902E7F">
              <w:rPr>
                <w:rFonts w:asciiTheme="majorHAnsi" w:hAnsiTheme="majorHAnsi"/>
                <w:color w:val="000000"/>
              </w:rPr>
              <w:t>“(Fe)male Effect: Her Story, Her Path, Her Power”</w:t>
            </w:r>
          </w:p>
        </w:tc>
      </w:tr>
      <w:tr w:rsidR="001332B3" w:rsidRPr="00902E7F" w14:paraId="3AA0E957" w14:textId="77777777" w:rsidTr="000933AF">
        <w:tc>
          <w:tcPr>
            <w:tcW w:w="625" w:type="dxa"/>
          </w:tcPr>
          <w:p w14:paraId="7467BAE5" w14:textId="4A185A27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23.</w:t>
            </w:r>
          </w:p>
        </w:tc>
        <w:tc>
          <w:tcPr>
            <w:tcW w:w="2430" w:type="dxa"/>
          </w:tcPr>
          <w:p w14:paraId="4A79CFC3" w14:textId="0BAEDBDA" w:rsidR="001332B3" w:rsidRPr="00902E7F" w:rsidRDefault="002768CC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Основниот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Кривичен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3E244D52" w14:textId="30E944B2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13 март</w:t>
            </w:r>
          </w:p>
        </w:tc>
        <w:tc>
          <w:tcPr>
            <w:tcW w:w="4765" w:type="dxa"/>
          </w:tcPr>
          <w:p w14:paraId="11B728B2" w14:textId="05329D92" w:rsidR="001332B3" w:rsidRPr="006012E3" w:rsidRDefault="006012E3" w:rsidP="00907E17">
            <w:pPr>
              <w:pStyle w:val="NormalWeb"/>
              <w:shd w:val="clear" w:color="auto" w:fill="FFFFFF"/>
              <w:jc w:val="both"/>
              <w:rPr>
                <w:rFonts w:ascii="Open Sans" w:hAnsi="Open Sans" w:cs="Open Sans"/>
                <w:color w:val="606060"/>
                <w:sz w:val="18"/>
                <w:szCs w:val="18"/>
                <w:lang w:val="mk-MK"/>
              </w:rPr>
            </w:pP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Во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рамките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на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посетите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студентите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имаа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прилика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практично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да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се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запознаат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со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 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спецификите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>на</w:t>
            </w:r>
            <w:proofErr w:type="spellEnd"/>
            <w:r w:rsidRPr="001332B3">
              <w:rPr>
                <w:rFonts w:asciiTheme="majorHAnsi" w:hAnsiTheme="majorHAnsi" w:cs="Segoe U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Theme="majorHAnsi" w:hAnsiTheme="majorHAnsi" w:cs="Segoe UI"/>
                <w:color w:val="000000"/>
                <w:bdr w:val="none" w:sz="0" w:space="0" w:color="auto" w:frame="1"/>
                <w:lang w:val="mk-MK"/>
              </w:rPr>
              <w:t xml:space="preserve">прекршочната постапка преку можноста од судија на одделот за сообраќајни прекршоци директно да ги согледаат особеностите на истата. Имено им беа претставени конкретни </w:t>
            </w:r>
            <w:proofErr w:type="spellStart"/>
            <w:r>
              <w:rPr>
                <w:rFonts w:asciiTheme="majorHAnsi" w:hAnsiTheme="majorHAnsi" w:cs="Segoe UI"/>
                <w:color w:val="000000"/>
                <w:bdr w:val="none" w:sz="0" w:space="0" w:color="auto" w:frame="1"/>
                <w:lang w:val="mk-MK"/>
              </w:rPr>
              <w:t>случаји</w:t>
            </w:r>
            <w:proofErr w:type="spellEnd"/>
            <w:r>
              <w:rPr>
                <w:rFonts w:asciiTheme="majorHAnsi" w:hAnsiTheme="majorHAnsi" w:cs="Segoe UI"/>
                <w:color w:val="000000"/>
                <w:bdr w:val="none" w:sz="0" w:space="0" w:color="auto" w:frame="1"/>
                <w:lang w:val="mk-MK"/>
              </w:rPr>
              <w:t xml:space="preserve">, им се овозможи согледување на поднесоците и процесните елементи на прекршочната постапка. </w:t>
            </w:r>
          </w:p>
        </w:tc>
      </w:tr>
      <w:tr w:rsidR="001332B3" w:rsidRPr="00902E7F" w14:paraId="109FBEAF" w14:textId="77777777" w:rsidTr="000933AF">
        <w:tc>
          <w:tcPr>
            <w:tcW w:w="625" w:type="dxa"/>
          </w:tcPr>
          <w:p w14:paraId="3ED93F23" w14:textId="3DF49819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24.</w:t>
            </w:r>
          </w:p>
        </w:tc>
        <w:tc>
          <w:tcPr>
            <w:tcW w:w="2430" w:type="dxa"/>
          </w:tcPr>
          <w:p w14:paraId="2F57F915" w14:textId="2E84E13D" w:rsidR="001332B3" w:rsidRPr="00902E7F" w:rsidRDefault="002768CC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Основниот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Кривичен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5CFB6C86" w14:textId="1DECAA63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20 март</w:t>
            </w:r>
          </w:p>
        </w:tc>
        <w:tc>
          <w:tcPr>
            <w:tcW w:w="4765" w:type="dxa"/>
          </w:tcPr>
          <w:p w14:paraId="44A19C50" w14:textId="096E2CB3" w:rsidR="006012E3" w:rsidRPr="006012E3" w:rsidRDefault="00A71621" w:rsidP="00907E17">
            <w:pPr>
              <w:pStyle w:val="NormalWeb"/>
              <w:shd w:val="clear" w:color="auto" w:fill="FFFFFF"/>
              <w:ind w:firstLine="720"/>
              <w:jc w:val="both"/>
              <w:rPr>
                <w:rFonts w:asciiTheme="minorHAnsi" w:hAnsiTheme="minorHAnsi" w:cstheme="minorHAnsi"/>
              </w:rPr>
            </w:pPr>
            <w:r w:rsidRPr="006012E3">
              <w:rPr>
                <w:rFonts w:asciiTheme="minorHAnsi" w:hAnsiTheme="minorHAnsi" w:cstheme="minorHAnsi"/>
                <w:lang w:val="mk-MK"/>
              </w:rPr>
              <w:t>Посета во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6012E3">
              <w:rPr>
                <w:rFonts w:asciiTheme="minorHAnsi" w:hAnsiTheme="minorHAnsi" w:cstheme="minorHAnsi"/>
                <w:lang w:val="mk-MK"/>
              </w:rPr>
              <w:t>О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>дделението на</w:t>
            </w:r>
            <w:r w:rsidRPr="006012E3">
              <w:rPr>
                <w:rFonts w:asciiTheme="minorHAnsi" w:hAnsiTheme="minorHAnsi" w:cstheme="minorHAnsi"/>
                <w:lang w:val="mk-MK"/>
              </w:rPr>
              <w:t xml:space="preserve"> организиран криминалитет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 xml:space="preserve"> и корупција. </w:t>
            </w:r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Студентите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имаа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можност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>од судија на претходната постапка да ги согледаат спецификите на постапките на организира</w:t>
            </w:r>
            <w:r w:rsidR="006012E3">
              <w:rPr>
                <w:rFonts w:asciiTheme="minorHAnsi" w:hAnsiTheme="minorHAnsi" w:cstheme="minorHAnsi"/>
                <w:lang w:val="mk-MK"/>
              </w:rPr>
              <w:t>н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 xml:space="preserve"> криминалитет</w:t>
            </w:r>
            <w:r w:rsidR="006012E3">
              <w:rPr>
                <w:rFonts w:asciiTheme="minorHAnsi" w:hAnsiTheme="minorHAnsi" w:cstheme="minorHAnsi"/>
                <w:lang w:val="mk-MK"/>
              </w:rPr>
              <w:t xml:space="preserve"> и корупција</w:t>
            </w:r>
            <w:r w:rsidR="006012E3" w:rsidRPr="006012E3">
              <w:rPr>
                <w:rFonts w:asciiTheme="minorHAnsi" w:hAnsiTheme="minorHAnsi" w:cstheme="minorHAnsi"/>
                <w:lang w:val="mk-MK"/>
              </w:rPr>
              <w:t xml:space="preserve">. Беа </w:t>
            </w:r>
            <w:proofErr w:type="spellStart"/>
            <w:r w:rsidR="006012E3" w:rsidRPr="006012E3">
              <w:rPr>
                <w:rFonts w:asciiTheme="minorHAnsi" w:hAnsiTheme="minorHAnsi" w:cstheme="minorHAnsi"/>
                <w:lang w:val="mk-MK"/>
              </w:rPr>
              <w:t>запознати</w:t>
            </w:r>
            <w:proofErr w:type="spellEnd"/>
            <w:r w:rsidR="006012E3" w:rsidRPr="006012E3">
              <w:rPr>
                <w:rFonts w:asciiTheme="minorHAnsi" w:hAnsiTheme="minorHAnsi" w:cstheme="minorHAnsi"/>
                <w:lang w:val="mk-MK"/>
              </w:rPr>
              <w:t xml:space="preserve"> со конкретни предмети и специфични елементи на постапката. Исто така и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следеа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судење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во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одделението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за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Организиран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криминал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="006012E3" w:rsidRPr="006012E3">
              <w:rPr>
                <w:rFonts w:asciiTheme="minorHAnsi" w:hAnsiTheme="minorHAnsi" w:cstheme="minorHAnsi"/>
              </w:rPr>
              <w:t>корупција</w:t>
            </w:r>
            <w:proofErr w:type="spellEnd"/>
            <w:r w:rsidR="006012E3" w:rsidRPr="006012E3">
              <w:rPr>
                <w:rFonts w:asciiTheme="minorHAnsi" w:hAnsiTheme="minorHAnsi" w:cstheme="minorHAnsi"/>
              </w:rPr>
              <w:t>.</w:t>
            </w:r>
          </w:p>
          <w:p w14:paraId="347F3EFA" w14:textId="06F686CD" w:rsidR="001332B3" w:rsidRPr="006012E3" w:rsidRDefault="001332B3" w:rsidP="00907E17">
            <w:pPr>
              <w:jc w:val="both"/>
              <w:rPr>
                <w:rFonts w:cstheme="minorHAnsi"/>
                <w:sz w:val="24"/>
                <w:szCs w:val="24"/>
                <w:lang w:val="mk-MK"/>
              </w:rPr>
            </w:pPr>
          </w:p>
        </w:tc>
      </w:tr>
      <w:tr w:rsidR="00D9032F" w:rsidRPr="00902E7F" w14:paraId="1B00E12D" w14:textId="77777777" w:rsidTr="000933AF">
        <w:tc>
          <w:tcPr>
            <w:tcW w:w="625" w:type="dxa"/>
          </w:tcPr>
          <w:p w14:paraId="0F3DC900" w14:textId="234AB77B" w:rsidR="00D9032F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25.</w:t>
            </w:r>
          </w:p>
        </w:tc>
        <w:tc>
          <w:tcPr>
            <w:tcW w:w="2430" w:type="dxa"/>
          </w:tcPr>
          <w:p w14:paraId="5054C86F" w14:textId="5A2754B1" w:rsidR="00D9032F" w:rsidRPr="00902E7F" w:rsidRDefault="00D9032F" w:rsidP="00902E7F">
            <w:pPr>
              <w:spacing w:line="276" w:lineRule="auto"/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:lang w:val="mk-MK"/>
                <w14:ligatures w14:val="none"/>
              </w:rPr>
            </w:pPr>
            <w:r w:rsidRPr="00902E7F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:lang w:val="mk-MK"/>
                <w14:ligatures w14:val="none"/>
              </w:rPr>
              <w:t>Комисија за хартии од вредност</w:t>
            </w:r>
          </w:p>
        </w:tc>
        <w:tc>
          <w:tcPr>
            <w:tcW w:w="1530" w:type="dxa"/>
          </w:tcPr>
          <w:p w14:paraId="5F9A3672" w14:textId="46476D92" w:rsidR="00D9032F" w:rsidRPr="00902E7F" w:rsidRDefault="00D9032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26 март</w:t>
            </w:r>
          </w:p>
        </w:tc>
        <w:tc>
          <w:tcPr>
            <w:tcW w:w="4765" w:type="dxa"/>
          </w:tcPr>
          <w:p w14:paraId="3A279160" w14:textId="017771B8" w:rsidR="00D9032F" w:rsidRPr="00902E7F" w:rsidRDefault="00D9032F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Студентите имаа прилика да се стекнат со знаења за начинот, организацијата и надлежност </w:t>
            </w:r>
            <w:r w:rsidR="006012E3">
              <w:rPr>
                <w:rFonts w:asciiTheme="majorHAnsi" w:hAnsiTheme="majorHAnsi"/>
                <w:sz w:val="24"/>
                <w:szCs w:val="24"/>
                <w:lang w:val="mk-MK"/>
              </w:rPr>
              <w:t>на Комисијата за хартии од вредност како регулаторно тело на пазарот на капитал. Исто така имаа прилика да им се пренесат практични аспекти на функционирањето на пазарот на капитал.</w:t>
            </w:r>
          </w:p>
        </w:tc>
      </w:tr>
      <w:tr w:rsidR="001332B3" w:rsidRPr="00902E7F" w14:paraId="13E65C26" w14:textId="77777777" w:rsidTr="000933AF">
        <w:tc>
          <w:tcPr>
            <w:tcW w:w="625" w:type="dxa"/>
          </w:tcPr>
          <w:p w14:paraId="0DA72202" w14:textId="36E9D40A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26.</w:t>
            </w:r>
          </w:p>
        </w:tc>
        <w:tc>
          <w:tcPr>
            <w:tcW w:w="2430" w:type="dxa"/>
          </w:tcPr>
          <w:p w14:paraId="5FD04D76" w14:textId="29B0F516" w:rsidR="001332B3" w:rsidRPr="00902E7F" w:rsidRDefault="002768CC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Основниот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Кривичен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суд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1,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во</w:t>
            </w:r>
            <w:proofErr w:type="spellEnd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1332B3">
              <w:rPr>
                <w:rFonts w:asciiTheme="majorHAnsi" w:eastAsia="Times New Roman" w:hAnsiTheme="majorHAnsi" w:cs="Segoe UI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Скопје</w:t>
            </w:r>
            <w:proofErr w:type="spellEnd"/>
          </w:p>
        </w:tc>
        <w:tc>
          <w:tcPr>
            <w:tcW w:w="1530" w:type="dxa"/>
          </w:tcPr>
          <w:p w14:paraId="5538A48C" w14:textId="490590E7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27 март</w:t>
            </w:r>
          </w:p>
        </w:tc>
        <w:tc>
          <w:tcPr>
            <w:tcW w:w="4765" w:type="dxa"/>
          </w:tcPr>
          <w:p w14:paraId="790D7249" w14:textId="475B4194" w:rsidR="001332B3" w:rsidRPr="00902E7F" w:rsidRDefault="00A71621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Следење на јавни седници</w:t>
            </w:r>
          </w:p>
        </w:tc>
      </w:tr>
      <w:tr w:rsidR="001332B3" w:rsidRPr="00902E7F" w14:paraId="705791D0" w14:textId="77777777" w:rsidTr="000933AF">
        <w:tc>
          <w:tcPr>
            <w:tcW w:w="625" w:type="dxa"/>
          </w:tcPr>
          <w:p w14:paraId="1AA1B65D" w14:textId="512FFAC9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</w:t>
            </w:r>
            <w:r w:rsidR="00CD65D9">
              <w:rPr>
                <w:rFonts w:asciiTheme="majorHAnsi" w:hAnsiTheme="majorHAnsi"/>
                <w:sz w:val="24"/>
                <w:szCs w:val="24"/>
                <w:lang w:val="mk-MK"/>
              </w:rPr>
              <w:t>7</w:t>
            </w:r>
            <w:r>
              <w:rPr>
                <w:rFonts w:asciiTheme="majorHAnsi" w:hAnsiTheme="majorHAnsi"/>
                <w:sz w:val="24"/>
                <w:szCs w:val="24"/>
                <w:lang w:val="mk-MK"/>
              </w:rPr>
              <w:t>.</w:t>
            </w:r>
          </w:p>
        </w:tc>
        <w:tc>
          <w:tcPr>
            <w:tcW w:w="2430" w:type="dxa"/>
          </w:tcPr>
          <w:p w14:paraId="48DDC42F" w14:textId="1DF395D7" w:rsidR="001332B3" w:rsidRPr="00902E7F" w:rsidRDefault="008C00C8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К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линичка</w:t>
            </w:r>
            <w:r w:rsidRPr="00902E7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настава од страна на адвокат Маја  Ристовска Стојановска</w:t>
            </w:r>
          </w:p>
        </w:tc>
        <w:tc>
          <w:tcPr>
            <w:tcW w:w="1530" w:type="dxa"/>
          </w:tcPr>
          <w:p w14:paraId="7EBC13F7" w14:textId="3CF8CF15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23 април</w:t>
            </w:r>
          </w:p>
        </w:tc>
        <w:tc>
          <w:tcPr>
            <w:tcW w:w="4765" w:type="dxa"/>
          </w:tcPr>
          <w:p w14:paraId="6A81DAC9" w14:textId="715B948B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Студентите имаа прилика да се запознаат со практичните аспекти на регистрација на трговските друштва, спецификите на постапката </w:t>
            </w:r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преку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анализа на</w:t>
            </w:r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сите фази, вклучувајќи ги ја и анализата и можноста за увид во целосната 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документите за упис</w:t>
            </w:r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. </w:t>
            </w:r>
          </w:p>
          <w:p w14:paraId="1056E338" w14:textId="77777777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1332B3" w:rsidRPr="00902E7F" w14:paraId="356EAD3B" w14:textId="77777777" w:rsidTr="000933AF">
        <w:tc>
          <w:tcPr>
            <w:tcW w:w="625" w:type="dxa"/>
          </w:tcPr>
          <w:p w14:paraId="41A97CE9" w14:textId="0E3B5B8B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2</w:t>
            </w:r>
            <w:r w:rsidR="00CD65D9">
              <w:rPr>
                <w:rFonts w:asciiTheme="majorHAnsi" w:hAnsiTheme="majorHAnsi"/>
                <w:sz w:val="24"/>
                <w:szCs w:val="24"/>
                <w:lang w:val="mk-MK"/>
              </w:rPr>
              <w:t>8</w:t>
            </w:r>
            <w:r>
              <w:rPr>
                <w:rFonts w:asciiTheme="majorHAnsi" w:hAnsiTheme="majorHAnsi"/>
                <w:sz w:val="24"/>
                <w:szCs w:val="24"/>
                <w:lang w:val="mk-MK"/>
              </w:rPr>
              <w:t>.</w:t>
            </w:r>
          </w:p>
        </w:tc>
        <w:tc>
          <w:tcPr>
            <w:tcW w:w="2430" w:type="dxa"/>
          </w:tcPr>
          <w:p w14:paraId="1E29D61B" w14:textId="1195392B" w:rsidR="001332B3" w:rsidRPr="00902E7F" w:rsidRDefault="0099002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Клиничка</w:t>
            </w:r>
            <w:r w:rsidRPr="00902E7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настава од страна на адвокат Маја  Ристовска Стојановска</w:t>
            </w:r>
          </w:p>
        </w:tc>
        <w:tc>
          <w:tcPr>
            <w:tcW w:w="1530" w:type="dxa"/>
          </w:tcPr>
          <w:p w14:paraId="46078D05" w14:textId="382B076D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24 април</w:t>
            </w:r>
          </w:p>
        </w:tc>
        <w:tc>
          <w:tcPr>
            <w:tcW w:w="4765" w:type="dxa"/>
          </w:tcPr>
          <w:p w14:paraId="54F17405" w14:textId="7C3CCE10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Студентите имаа прилика да ги согледаат практичните аспекти на парничната постапка преку анализа на случаи на развод на брак, постапката на определување на издршка како и спецификите на </w:t>
            </w:r>
            <w:proofErr w:type="spellStart"/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вонпарничната</w:t>
            </w:r>
            <w:proofErr w:type="spellEnd"/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постапка. </w:t>
            </w:r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преку оваа </w:t>
            </w:r>
            <w:proofErr w:type="spellStart"/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>клинична</w:t>
            </w:r>
            <w:proofErr w:type="spellEnd"/>
            <w:r w:rsidR="00A71621"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настава студентите имаа прилика да ги видат сите типови на процесни поднесоци и документи специфични за постапките.</w:t>
            </w:r>
          </w:p>
          <w:p w14:paraId="2AB9D009" w14:textId="77777777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</w:tr>
      <w:tr w:rsidR="00B228E4" w:rsidRPr="00902E7F" w14:paraId="3AB0E105" w14:textId="77777777" w:rsidTr="000933AF">
        <w:tc>
          <w:tcPr>
            <w:tcW w:w="625" w:type="dxa"/>
          </w:tcPr>
          <w:p w14:paraId="3C1F6E6E" w14:textId="3AC286B4" w:rsidR="00B228E4" w:rsidRPr="00B8540E" w:rsidRDefault="00CD65D9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29</w:t>
            </w:r>
            <w:r w:rsidR="00B8540E">
              <w:rPr>
                <w:rFonts w:asciiTheme="majorHAnsi" w:hAnsiTheme="majorHAnsi"/>
                <w:sz w:val="24"/>
                <w:szCs w:val="24"/>
                <w:lang w:val="mk-MK"/>
              </w:rPr>
              <w:t>.</w:t>
            </w:r>
          </w:p>
        </w:tc>
        <w:tc>
          <w:tcPr>
            <w:tcW w:w="2430" w:type="dxa"/>
          </w:tcPr>
          <w:p w14:paraId="4637370A" w14:textId="78624FCB" w:rsidR="00B228E4" w:rsidRPr="00902E7F" w:rsidRDefault="00B228E4" w:rsidP="00902E7F">
            <w:pPr>
              <w:pStyle w:val="NormalWeb"/>
              <w:shd w:val="clear" w:color="auto" w:fill="FFFFFF"/>
              <w:spacing w:before="0" w:beforeAutospacing="0" w:line="276" w:lineRule="auto"/>
              <w:rPr>
                <w:rFonts w:asciiTheme="majorHAnsi" w:hAnsiTheme="majorHAnsi" w:cs="Noto Serif"/>
                <w:color w:val="212529"/>
              </w:rPr>
            </w:pPr>
            <w:r w:rsidRPr="00902E7F">
              <w:rPr>
                <w:rFonts w:asciiTheme="majorHAnsi" w:hAnsiTheme="majorHAnsi"/>
                <w:lang w:val="mk-MK"/>
              </w:rPr>
              <w:t xml:space="preserve">Посета на </w:t>
            </w:r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r w:rsidRPr="00902E7F">
              <w:rPr>
                <w:rFonts w:asciiTheme="majorHAnsi" w:hAnsiTheme="majorHAnsi" w:cs="Noto Serif"/>
                <w:color w:val="212529"/>
              </w:rPr>
              <w:t>КПД-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Идризово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</w:p>
          <w:p w14:paraId="1CDC46C8" w14:textId="4F475778" w:rsidR="00B228E4" w:rsidRPr="00902E7F" w:rsidRDefault="00B228E4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</w:tcPr>
          <w:p w14:paraId="499431CF" w14:textId="2074D1E5" w:rsidR="00B228E4" w:rsidRPr="00902E7F" w:rsidRDefault="00B228E4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29 април</w:t>
            </w:r>
          </w:p>
        </w:tc>
        <w:tc>
          <w:tcPr>
            <w:tcW w:w="4765" w:type="dxa"/>
          </w:tcPr>
          <w:p w14:paraId="5547B328" w14:textId="224C33BB" w:rsidR="00B228E4" w:rsidRPr="00902E7F" w:rsidRDefault="00B228E4" w:rsidP="00907E17">
            <w:pPr>
              <w:pStyle w:val="NormalWeb"/>
              <w:shd w:val="clear" w:color="auto" w:fill="FFFFFF"/>
              <w:spacing w:before="0" w:beforeAutospacing="0" w:line="276" w:lineRule="auto"/>
              <w:jc w:val="both"/>
              <w:rPr>
                <w:rFonts w:asciiTheme="majorHAnsi" w:hAnsiTheme="majorHAnsi"/>
                <w:lang w:val="mk-MK"/>
              </w:rPr>
            </w:pPr>
            <w:r w:rsidRPr="00902E7F">
              <w:rPr>
                <w:rFonts w:asciiTheme="majorHAnsi" w:hAnsiTheme="majorHAnsi" w:cs="Noto Serif"/>
                <w:color w:val="212529"/>
                <w:lang w:val="mk-MK"/>
              </w:rPr>
              <w:t xml:space="preserve">Преку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посета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  <w:lang w:val="mk-MK"/>
              </w:rPr>
              <w:t>та</w:t>
            </w:r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КПД-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Идризово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r w:rsidRPr="00902E7F">
              <w:rPr>
                <w:rFonts w:asciiTheme="majorHAnsi" w:hAnsiTheme="majorHAnsi" w:cs="Noto Serif"/>
                <w:color w:val="212529"/>
                <w:lang w:val="mk-MK"/>
              </w:rPr>
              <w:t xml:space="preserve">студентите имаа прилика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одблиску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се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запознаа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  <w:lang w:val="mk-MK"/>
              </w:rPr>
              <w:t>т</w:t>
            </w:r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за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престојот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осудените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лица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условите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за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издржување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затворската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казна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,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како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третманот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нивната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ресоцијализација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>.</w:t>
            </w:r>
            <w:r w:rsidRPr="00902E7F">
              <w:rPr>
                <w:rFonts w:asciiTheme="majorHAnsi" w:hAnsiTheme="majorHAnsi" w:cs="Noto Serif"/>
                <w:color w:val="212529"/>
                <w:lang w:val="mk-MK"/>
              </w:rPr>
              <w:t xml:space="preserve"> На тој начин студентите имаа можност да ја согледаат, од практична перспектива, к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атегоризацијата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пенитенцијарните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институции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, </w:t>
            </w:r>
            <w:r w:rsidR="00991653">
              <w:rPr>
                <w:rFonts w:asciiTheme="majorHAnsi" w:hAnsiTheme="majorHAnsi" w:cs="Noto Serif"/>
                <w:color w:val="212529"/>
                <w:lang w:val="mk-MK"/>
              </w:rPr>
              <w:t xml:space="preserve">како и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класификацијата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на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осудените</w:t>
            </w:r>
            <w:proofErr w:type="spellEnd"/>
            <w:r w:rsidRPr="00902E7F">
              <w:rPr>
                <w:rFonts w:asciiTheme="majorHAnsi" w:hAnsiTheme="majorHAnsi" w:cs="Noto Serif"/>
                <w:color w:val="212529"/>
              </w:rPr>
              <w:t xml:space="preserve"> </w:t>
            </w:r>
            <w:proofErr w:type="spellStart"/>
            <w:r w:rsidRPr="00902E7F">
              <w:rPr>
                <w:rFonts w:asciiTheme="majorHAnsi" w:hAnsiTheme="majorHAnsi" w:cs="Noto Serif"/>
                <w:color w:val="212529"/>
              </w:rPr>
              <w:t>лица</w:t>
            </w:r>
            <w:proofErr w:type="spellEnd"/>
            <w:r w:rsidR="00991653">
              <w:rPr>
                <w:rFonts w:asciiTheme="majorHAnsi" w:hAnsiTheme="majorHAnsi" w:cs="Noto Serif"/>
                <w:color w:val="212529"/>
                <w:lang w:val="mk-MK"/>
              </w:rPr>
              <w:t>.</w:t>
            </w:r>
          </w:p>
        </w:tc>
      </w:tr>
      <w:tr w:rsidR="001332B3" w:rsidRPr="00902E7F" w14:paraId="471B87AD" w14:textId="77777777" w:rsidTr="000933AF">
        <w:tc>
          <w:tcPr>
            <w:tcW w:w="625" w:type="dxa"/>
          </w:tcPr>
          <w:p w14:paraId="322EF4DF" w14:textId="6DADF545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t>31.</w:t>
            </w:r>
          </w:p>
        </w:tc>
        <w:tc>
          <w:tcPr>
            <w:tcW w:w="2430" w:type="dxa"/>
          </w:tcPr>
          <w:p w14:paraId="0ABE29E5" w14:textId="4AC7EFE7" w:rsidR="00B228E4" w:rsidRPr="00902E7F" w:rsidRDefault="00B228E4" w:rsidP="00902E7F">
            <w:pPr>
              <w:pStyle w:val="NormalWeb"/>
              <w:spacing w:line="276" w:lineRule="auto"/>
              <w:rPr>
                <w:rFonts w:asciiTheme="majorHAnsi" w:hAnsiTheme="majorHAnsi"/>
                <w:color w:val="000000"/>
              </w:rPr>
            </w:pPr>
            <w:r w:rsidRPr="00902E7F">
              <w:rPr>
                <w:rFonts w:asciiTheme="majorHAnsi" w:hAnsiTheme="majorHAnsi"/>
                <w:color w:val="000000"/>
                <w:lang w:val="mk-MK"/>
              </w:rPr>
              <w:t>П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рактична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работилницита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која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ја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организира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Центарот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за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управување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промени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(ЦУП)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рамките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проектот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„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Поттикнување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доброто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управување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реформите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јавната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администрација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-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фаза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2“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поддржан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од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National </w:t>
            </w:r>
            <w:r w:rsidRPr="00902E7F">
              <w:rPr>
                <w:rFonts w:asciiTheme="majorHAnsi" w:hAnsiTheme="majorHAnsi"/>
                <w:color w:val="000000"/>
              </w:rPr>
              <w:lastRenderedPageBreak/>
              <w:t>endowment for democracy NED.</w:t>
            </w:r>
          </w:p>
          <w:p w14:paraId="4E74D704" w14:textId="77777777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</w:tcPr>
          <w:p w14:paraId="7369A3A5" w14:textId="50933F61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8 мај</w:t>
            </w:r>
          </w:p>
        </w:tc>
        <w:tc>
          <w:tcPr>
            <w:tcW w:w="4765" w:type="dxa"/>
          </w:tcPr>
          <w:p w14:paraId="0C36E0CE" w14:textId="77777777" w:rsidR="00B228E4" w:rsidRPr="00902E7F" w:rsidRDefault="00B228E4" w:rsidP="00907E17">
            <w:pPr>
              <w:pStyle w:val="NormalWeb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proofErr w:type="spellStart"/>
            <w:r w:rsidRPr="00902E7F">
              <w:rPr>
                <w:rFonts w:asciiTheme="majorHAnsi" w:hAnsiTheme="majorHAnsi"/>
                <w:color w:val="000000"/>
              </w:rPr>
              <w:t>Учеството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им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овозможи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студентите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ги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продлабочат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своите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знаења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за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важноста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доброто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управување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почитувањето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високи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професионални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стандарди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ефикасни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институции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и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успешност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работењето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јавната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администрација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.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Имаа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прилика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практично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запознаат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техниките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за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пишување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претставки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Народниот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правобранител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вмрежувајќи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со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студентите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од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другите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правните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факултети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од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902E7F">
              <w:rPr>
                <w:rFonts w:asciiTheme="majorHAnsi" w:hAnsiTheme="majorHAnsi"/>
                <w:color w:val="000000"/>
              </w:rPr>
              <w:t>државата</w:t>
            </w:r>
            <w:proofErr w:type="spellEnd"/>
            <w:r w:rsidRPr="00902E7F">
              <w:rPr>
                <w:rFonts w:asciiTheme="majorHAnsi" w:hAnsiTheme="majorHAnsi"/>
                <w:color w:val="000000"/>
              </w:rPr>
              <w:t>.</w:t>
            </w:r>
          </w:p>
          <w:p w14:paraId="36B7E010" w14:textId="77777777" w:rsidR="001332B3" w:rsidRPr="00902E7F" w:rsidRDefault="001332B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32B3" w:rsidRPr="00902E7F" w14:paraId="3938AEE2" w14:textId="77777777" w:rsidTr="000933AF">
        <w:tc>
          <w:tcPr>
            <w:tcW w:w="625" w:type="dxa"/>
          </w:tcPr>
          <w:p w14:paraId="20B4F55B" w14:textId="18436189" w:rsidR="001332B3" w:rsidRPr="00B8540E" w:rsidRDefault="00B8540E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>
              <w:rPr>
                <w:rFonts w:asciiTheme="majorHAnsi" w:hAnsiTheme="majorHAnsi"/>
                <w:sz w:val="24"/>
                <w:szCs w:val="24"/>
                <w:lang w:val="mk-MK"/>
              </w:rPr>
              <w:lastRenderedPageBreak/>
              <w:t>32.</w:t>
            </w:r>
          </w:p>
        </w:tc>
        <w:tc>
          <w:tcPr>
            <w:tcW w:w="2430" w:type="dxa"/>
          </w:tcPr>
          <w:p w14:paraId="59356B50" w14:textId="2B27E3B9" w:rsidR="001332B3" w:rsidRPr="00902E7F" w:rsidRDefault="00B228E4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Сојуз на синдикати на Македонија</w:t>
            </w:r>
          </w:p>
        </w:tc>
        <w:tc>
          <w:tcPr>
            <w:tcW w:w="1530" w:type="dxa"/>
          </w:tcPr>
          <w:p w14:paraId="7162D24C" w14:textId="2B153F6D" w:rsidR="001332B3" w:rsidRPr="00902E7F" w:rsidRDefault="001332B3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1</w:t>
            </w:r>
            <w:r w:rsidR="00B228E4" w:rsidRPr="00902E7F">
              <w:rPr>
                <w:rFonts w:asciiTheme="majorHAnsi" w:hAnsiTheme="majorHAnsi"/>
                <w:sz w:val="24"/>
                <w:szCs w:val="24"/>
                <w:lang w:val="mk-MK"/>
              </w:rPr>
              <w:t>3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мај</w:t>
            </w:r>
          </w:p>
        </w:tc>
        <w:tc>
          <w:tcPr>
            <w:tcW w:w="4765" w:type="dxa"/>
          </w:tcPr>
          <w:p w14:paraId="772A9F93" w14:textId="7D9E1993" w:rsidR="001332B3" w:rsidRPr="00902E7F" w:rsidRDefault="00990023" w:rsidP="00907E17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>Студентите имаа можност да се запознаат со практичното функционирање на синдикатите, и воедно подлабоко да навлезат во практичните предизвици со кои се соочуваат синдикатите. Оваа посета овозможи студентите да се запознаат со клучните проблеми со кои се соочуваат работниците и нивната позиција на пазарот на трудот.</w:t>
            </w:r>
          </w:p>
        </w:tc>
      </w:tr>
      <w:tr w:rsidR="000933AF" w:rsidRPr="00902E7F" w14:paraId="34A03810" w14:textId="77777777" w:rsidTr="000933AF">
        <w:tc>
          <w:tcPr>
            <w:tcW w:w="625" w:type="dxa"/>
          </w:tcPr>
          <w:p w14:paraId="2E0C45DD" w14:textId="7777777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</w:tcPr>
          <w:p w14:paraId="142A03F0" w14:textId="41CB4469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</w:tcPr>
          <w:p w14:paraId="2AE5D1A0" w14:textId="77777777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</w:p>
        </w:tc>
        <w:tc>
          <w:tcPr>
            <w:tcW w:w="4765" w:type="dxa"/>
          </w:tcPr>
          <w:p w14:paraId="4DA7ACE2" w14:textId="07BF0E2F" w:rsidR="000933AF" w:rsidRPr="00902E7F" w:rsidRDefault="000933AF" w:rsidP="00902E7F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val="mk-MK"/>
              </w:rPr>
            </w:pP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Вкупно реализација: </w:t>
            </w:r>
            <w:r w:rsidR="00991653">
              <w:rPr>
                <w:rFonts w:asciiTheme="majorHAnsi" w:hAnsiTheme="majorHAnsi"/>
                <w:sz w:val="24"/>
                <w:szCs w:val="24"/>
                <w:lang w:val="mk-MK"/>
              </w:rPr>
              <w:t>136</w:t>
            </w:r>
            <w:r w:rsidRPr="00902E7F">
              <w:rPr>
                <w:rFonts w:asciiTheme="majorHAnsi" w:hAnsiTheme="majorHAnsi"/>
                <w:sz w:val="24"/>
                <w:szCs w:val="24"/>
                <w:lang w:val="mk-MK"/>
              </w:rPr>
              <w:t xml:space="preserve"> часа</w:t>
            </w:r>
          </w:p>
        </w:tc>
      </w:tr>
    </w:tbl>
    <w:p w14:paraId="280295F6" w14:textId="3CC71053" w:rsidR="00655F26" w:rsidRDefault="00655F26">
      <w:pPr>
        <w:rPr>
          <w:lang w:val="mk-MK"/>
        </w:rPr>
      </w:pPr>
    </w:p>
    <w:p w14:paraId="3F7E1A5E" w14:textId="77777777" w:rsidR="00907E17" w:rsidRDefault="00907E17">
      <w:pPr>
        <w:rPr>
          <w:lang w:val="mk-MK"/>
        </w:rPr>
      </w:pPr>
    </w:p>
    <w:p w14:paraId="4CA438D7" w14:textId="77777777" w:rsidR="00907E17" w:rsidRDefault="00907E17">
      <w:pPr>
        <w:rPr>
          <w:lang w:val="mk-MK"/>
        </w:rPr>
      </w:pPr>
    </w:p>
    <w:p w14:paraId="5E892D22" w14:textId="5A6F15BD" w:rsidR="00907E17" w:rsidRDefault="00907E17">
      <w:pPr>
        <w:rPr>
          <w:lang w:val="mk-MK"/>
        </w:rPr>
      </w:pPr>
      <w:r>
        <w:rPr>
          <w:lang w:val="mk-MK"/>
        </w:rPr>
        <w:t>Скопје, 26.05.2025,</w:t>
      </w:r>
    </w:p>
    <w:p w14:paraId="44B734C6" w14:textId="77777777" w:rsidR="00907E17" w:rsidRDefault="00907E17">
      <w:pPr>
        <w:rPr>
          <w:lang w:val="mk-MK"/>
        </w:rPr>
      </w:pPr>
    </w:p>
    <w:p w14:paraId="4C84E5FE" w14:textId="354BF41F" w:rsidR="00907E17" w:rsidRDefault="00907E17" w:rsidP="00907E17">
      <w:pPr>
        <w:jc w:val="right"/>
        <w:rPr>
          <w:lang w:val="mk-MK"/>
        </w:rPr>
      </w:pPr>
      <w:r>
        <w:rPr>
          <w:lang w:val="mk-MK"/>
        </w:rPr>
        <w:t>ДЕКАН,</w:t>
      </w:r>
    </w:p>
    <w:p w14:paraId="7CE1FE18" w14:textId="7479F267" w:rsidR="00907E17" w:rsidRPr="00907E17" w:rsidRDefault="00907E17" w:rsidP="00907E17">
      <w:pPr>
        <w:jc w:val="right"/>
        <w:rPr>
          <w:lang w:val="mk-MK"/>
        </w:rPr>
      </w:pPr>
      <w:r>
        <w:rPr>
          <w:lang w:val="mk-MK"/>
        </w:rPr>
        <w:t xml:space="preserve">Проф. д-р </w:t>
      </w:r>
      <w:proofErr w:type="spellStart"/>
      <w:r>
        <w:rPr>
          <w:lang w:val="mk-MK"/>
        </w:rPr>
        <w:t>Сејдефа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Џафче</w:t>
      </w:r>
      <w:proofErr w:type="spellEnd"/>
    </w:p>
    <w:sectPr w:rsidR="00907E17" w:rsidRPr="00907E17" w:rsidSect="00655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AAD7" w14:textId="77777777" w:rsidR="000563F1" w:rsidRDefault="000563F1" w:rsidP="005E4EA4">
      <w:pPr>
        <w:spacing w:after="0" w:line="240" w:lineRule="auto"/>
      </w:pPr>
      <w:r>
        <w:separator/>
      </w:r>
    </w:p>
  </w:endnote>
  <w:endnote w:type="continuationSeparator" w:id="0">
    <w:p w14:paraId="69841F19" w14:textId="77777777" w:rsidR="000563F1" w:rsidRDefault="000563F1" w:rsidP="005E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33E2" w14:textId="77777777" w:rsidR="000563F1" w:rsidRDefault="000563F1" w:rsidP="005E4EA4">
      <w:pPr>
        <w:spacing w:after="0" w:line="240" w:lineRule="auto"/>
      </w:pPr>
      <w:r>
        <w:separator/>
      </w:r>
    </w:p>
  </w:footnote>
  <w:footnote w:type="continuationSeparator" w:id="0">
    <w:p w14:paraId="0AA781A4" w14:textId="77777777" w:rsidR="000563F1" w:rsidRDefault="000563F1" w:rsidP="005E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7894"/>
    <w:multiLevelType w:val="hybridMultilevel"/>
    <w:tmpl w:val="0CBC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730585"/>
    <w:multiLevelType w:val="hybridMultilevel"/>
    <w:tmpl w:val="97760B60"/>
    <w:lvl w:ilvl="0" w:tplc="5798D6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3334"/>
    <w:multiLevelType w:val="hybridMultilevel"/>
    <w:tmpl w:val="22C2B51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25CBD"/>
    <w:multiLevelType w:val="hybridMultilevel"/>
    <w:tmpl w:val="7046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F556C"/>
    <w:multiLevelType w:val="hybridMultilevel"/>
    <w:tmpl w:val="35FC6708"/>
    <w:lvl w:ilvl="0" w:tplc="1E480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237AC"/>
    <w:multiLevelType w:val="hybridMultilevel"/>
    <w:tmpl w:val="9D96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48674">
    <w:abstractNumId w:val="4"/>
  </w:num>
  <w:num w:numId="2" w16cid:durableId="188642338">
    <w:abstractNumId w:val="0"/>
  </w:num>
  <w:num w:numId="3" w16cid:durableId="187303760">
    <w:abstractNumId w:val="1"/>
  </w:num>
  <w:num w:numId="4" w16cid:durableId="1429039519">
    <w:abstractNumId w:val="5"/>
  </w:num>
  <w:num w:numId="5" w16cid:durableId="84304980">
    <w:abstractNumId w:val="3"/>
  </w:num>
  <w:num w:numId="6" w16cid:durableId="115830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4"/>
    <w:rsid w:val="000563F1"/>
    <w:rsid w:val="000933AF"/>
    <w:rsid w:val="001332B3"/>
    <w:rsid w:val="002600D5"/>
    <w:rsid w:val="002768CC"/>
    <w:rsid w:val="003D2674"/>
    <w:rsid w:val="003F0146"/>
    <w:rsid w:val="00415ED1"/>
    <w:rsid w:val="00420DE8"/>
    <w:rsid w:val="0042148F"/>
    <w:rsid w:val="00480BC3"/>
    <w:rsid w:val="005E4EA4"/>
    <w:rsid w:val="006012E3"/>
    <w:rsid w:val="00655F26"/>
    <w:rsid w:val="006A3460"/>
    <w:rsid w:val="008A14C7"/>
    <w:rsid w:val="008C00C8"/>
    <w:rsid w:val="008E2920"/>
    <w:rsid w:val="00902E7F"/>
    <w:rsid w:val="00907E17"/>
    <w:rsid w:val="00990023"/>
    <w:rsid w:val="00991653"/>
    <w:rsid w:val="00A71621"/>
    <w:rsid w:val="00B1564C"/>
    <w:rsid w:val="00B228E4"/>
    <w:rsid w:val="00B8540E"/>
    <w:rsid w:val="00CD65D9"/>
    <w:rsid w:val="00CF4A62"/>
    <w:rsid w:val="00D9032F"/>
    <w:rsid w:val="00DB1C11"/>
    <w:rsid w:val="00E15A3B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3436"/>
  <w15:chartTrackingRefBased/>
  <w15:docId w15:val="{66C2FD0C-2809-494F-A07E-4C4BC77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26"/>
  </w:style>
  <w:style w:type="paragraph" w:styleId="Heading1">
    <w:name w:val="heading 1"/>
    <w:basedOn w:val="Normal"/>
    <w:next w:val="Normal"/>
    <w:link w:val="Heading1Char"/>
    <w:uiPriority w:val="9"/>
    <w:qFormat/>
    <w:rsid w:val="005E4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A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A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E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A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E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A4"/>
  </w:style>
  <w:style w:type="paragraph" w:styleId="Footer">
    <w:name w:val="footer"/>
    <w:basedOn w:val="Normal"/>
    <w:link w:val="FooterChar"/>
    <w:uiPriority w:val="99"/>
    <w:unhideWhenUsed/>
    <w:rsid w:val="005E4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A4"/>
  </w:style>
  <w:style w:type="paragraph" w:styleId="NormalWeb">
    <w:name w:val="Normal (Web)"/>
    <w:basedOn w:val="Normal"/>
    <w:uiPriority w:val="99"/>
    <w:unhideWhenUsed/>
    <w:rsid w:val="00B2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3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Dzafche Sejdefa</dc:creator>
  <cp:keywords/>
  <dc:description/>
  <cp:lastModifiedBy>Dzafche Sejdefa</cp:lastModifiedBy>
  <cp:revision>2</cp:revision>
  <dcterms:created xsi:type="dcterms:W3CDTF">2025-05-26T11:49:00Z</dcterms:created>
  <dcterms:modified xsi:type="dcterms:W3CDTF">2025-05-26T11:49:00Z</dcterms:modified>
</cp:coreProperties>
</file>